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0A" w:rsidRDefault="00BB0C0A" w:rsidP="00AD79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Список новых поступлений по экономике</w:t>
      </w:r>
    </w:p>
    <w:p w:rsidR="00AD79DC" w:rsidRPr="00BB0C0A" w:rsidRDefault="00AD79DC" w:rsidP="00AD79D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1. Пьянкова, С. К вопросу о формировании институтов развития монопрофильных территорий / С. Пьянкова // Государственная служба. – 2013. – № 5. – С. 98-100</w:t>
      </w:r>
    </w:p>
    <w:p w:rsidR="00AD79DC" w:rsidRPr="00BB0C0A" w:rsidRDefault="00AD79DC" w:rsidP="00AD79DC">
      <w:pPr>
        <w:rPr>
          <w:rFonts w:ascii="Times New Roman" w:hAnsi="Times New Roman" w:cs="Times New Roman"/>
          <w:sz w:val="28"/>
          <w:szCs w:val="28"/>
        </w:rPr>
      </w:pPr>
      <w:r w:rsidRPr="00BB0C0A">
        <w:rPr>
          <w:rFonts w:ascii="Times New Roman" w:hAnsi="Times New Roman" w:cs="Times New Roman"/>
          <w:sz w:val="28"/>
          <w:szCs w:val="28"/>
        </w:rPr>
        <w:t xml:space="preserve"> – Автор предлагает меры, которые позволят повысить эффективность формирования и функционирования институтов развития монопрофильной территории, а также при участии органов местного самоуправления города учитывать мнение населения, интересы частного бизнеса, развивать государственно-частное партнерство, повышать инвестиционную активность города, отслеживать и снижать инфраструктурные провалы монотерритории</w:t>
      </w:r>
      <w:r w:rsidR="00331EDC" w:rsidRPr="00BB0C0A">
        <w:rPr>
          <w:rFonts w:ascii="Times New Roman" w:hAnsi="Times New Roman" w:cs="Times New Roman"/>
          <w:sz w:val="28"/>
          <w:szCs w:val="28"/>
        </w:rPr>
        <w:t>.</w:t>
      </w:r>
    </w:p>
    <w:p w:rsidR="00AD79DC" w:rsidRPr="00BB0C0A" w:rsidRDefault="00331EDC" w:rsidP="00AD79D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2</w:t>
      </w:r>
      <w:r w:rsidR="00AD79DC" w:rsidRPr="00BB0C0A">
        <w:rPr>
          <w:rFonts w:ascii="Times New Roman" w:hAnsi="Times New Roman" w:cs="Times New Roman"/>
          <w:b/>
          <w:sz w:val="28"/>
          <w:szCs w:val="28"/>
        </w:rPr>
        <w:t>. Фадеев, П. Развитие малых и средних предприятий в моногородах Сибирского и Дальневосточного федеральных округов / П. Фадеев // Государственная служба. – 2013. – № 5. – С. 95-97</w:t>
      </w:r>
    </w:p>
    <w:p w:rsidR="008313BF" w:rsidRPr="00BB0C0A" w:rsidRDefault="008313BF" w:rsidP="008313BF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3. Можанова, И. И. Финансовая устойчивость банковской системы как фактор ее развития в регионе / И. И. Можанова, О. А. Антонюк // Банковское дело. – 2014. – № 1. – С. 25-29.</w:t>
      </w:r>
    </w:p>
    <w:p w:rsidR="008313BF" w:rsidRPr="00BB0C0A" w:rsidRDefault="008313BF" w:rsidP="008313BF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4. Тетерин, В. Д.Госзаказы как потенциал роста отечественного рынка факторинга / В. Д. Тетерин, В. И. Рожок // Банковское дело. – 2014. – № 1. – С. 76-80.</w:t>
      </w:r>
    </w:p>
    <w:p w:rsidR="008313BF" w:rsidRPr="00BB0C0A" w:rsidRDefault="008313BF" w:rsidP="008313BF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5. Шуметов, В. Г. Анализ межрегиональных различий инфляционных процессов в экономике Центральной России / В. Г. Шуметов // Проблемы прогнозирования. – 2014. – № 1. – С. 118-127</w:t>
      </w:r>
    </w:p>
    <w:p w:rsidR="008313BF" w:rsidRPr="00BB0C0A" w:rsidRDefault="008313BF" w:rsidP="008313BF">
      <w:pPr>
        <w:rPr>
          <w:rFonts w:ascii="Times New Roman" w:hAnsi="Times New Roman" w:cs="Times New Roman"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0A">
        <w:rPr>
          <w:rFonts w:ascii="Times New Roman" w:hAnsi="Times New Roman" w:cs="Times New Roman"/>
          <w:sz w:val="28"/>
          <w:szCs w:val="28"/>
        </w:rPr>
        <w:t>– Статья содержит анализ территориальных особенностей инфляционных процессов в экономике регионов Центральной России. Приведены анализ погодовой динамики базисных территориальных индексов потребительских цен, индексов цен на продовольственные и непродовольственные товары и тарифов на услуги в период 2000-2011 гг., а также экстраполяционный прогноз уровня инфляции в регионах Центральной России на 2013-2014 гг. Построена эконометрическая модель, связывающая территориальные индексы потребительских цен в 2008-2011 гг. с индексами цен на продовольственные и непродовольственные товары и тарифов на услуги. Предложена типология регионов Центральной России по множеству территориальных индексов базисных ИП</w:t>
      </w:r>
      <w:proofErr w:type="gramStart"/>
      <w:r w:rsidRPr="00BB0C0A">
        <w:rPr>
          <w:rFonts w:ascii="Times New Roman" w:hAnsi="Times New Roman" w:cs="Times New Roman"/>
          <w:sz w:val="28"/>
          <w:szCs w:val="28"/>
        </w:rPr>
        <w:t>Ц</w:t>
      </w:r>
      <w:r w:rsidR="00796E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6EB8">
        <w:rPr>
          <w:rFonts w:ascii="Times New Roman" w:hAnsi="Times New Roman" w:cs="Times New Roman"/>
          <w:sz w:val="28"/>
          <w:szCs w:val="28"/>
        </w:rPr>
        <w:t>индексы потребительских цен)</w:t>
      </w:r>
      <w:r w:rsidRPr="00BB0C0A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товары, непродовольственные товары и тарифов на услуги в 2008-2011 гг.</w:t>
      </w:r>
    </w:p>
    <w:p w:rsidR="005259D8" w:rsidRPr="00BB0C0A" w:rsidRDefault="008313BF" w:rsidP="005259D8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5259D8" w:rsidRPr="00BB0C0A">
        <w:rPr>
          <w:rFonts w:ascii="Times New Roman" w:hAnsi="Times New Roman" w:cs="Times New Roman"/>
          <w:b/>
          <w:sz w:val="28"/>
          <w:szCs w:val="28"/>
        </w:rPr>
        <w:t>Каширин, А. И. Открытые инновации. Мировая практика и опыт корпорации "Ростех" / А. И. Каширин // Инновации. – 2013. – № 12. – С. 10-17</w:t>
      </w:r>
    </w:p>
    <w:p w:rsidR="005259D8" w:rsidRPr="00BB0C0A" w:rsidRDefault="005259D8" w:rsidP="005259D8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2. Семенов, А. С. Корпоративный венчуринг - важнейший механизм "открытых инноваций" / А. С. Семенов, Э. Б. Гостева // Инновации. – 2013. – № 12. – С. 51-58</w:t>
      </w:r>
    </w:p>
    <w:p w:rsidR="005259D8" w:rsidRPr="00BB0C0A" w:rsidRDefault="005259D8" w:rsidP="005259D8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3. Ступников, С.</w:t>
      </w:r>
      <w:r w:rsidR="00BB0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0A">
        <w:rPr>
          <w:rFonts w:ascii="Times New Roman" w:hAnsi="Times New Roman" w:cs="Times New Roman"/>
          <w:b/>
          <w:sz w:val="28"/>
          <w:szCs w:val="28"/>
        </w:rPr>
        <w:t>Перспективы применения принципов краудсорсинга органами государственной власти и местного самоуправления / С. Ступников // Государственная служба. – 2013. – № 5. – С. 108-110</w:t>
      </w:r>
    </w:p>
    <w:p w:rsidR="005259D8" w:rsidRPr="00BB0C0A" w:rsidRDefault="005259D8" w:rsidP="005259D8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4. Сулима, Б. Финансовые аспекты функционирования страхового рынка в современных условиях / Б. Сулима // Государственная служба. – 2013. – № 5. – С. 117-119</w:t>
      </w:r>
    </w:p>
    <w:p w:rsidR="005259D8" w:rsidRPr="00BB0C0A" w:rsidRDefault="005259D8" w:rsidP="005259D8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5. Цыганова, Н.Особенности финансирования инвестиционных проектов природопользования в России / Н. Цыганова // Государственная служба. – 2013. – № 5. – С. 111-113</w:t>
      </w:r>
    </w:p>
    <w:p w:rsidR="0063016C" w:rsidRPr="00BB0C0A" w:rsidRDefault="0063016C" w:rsidP="0063016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6. Горецкая, В. А.Поведенческие финансы: применение теории перспектив  управлении финансами / В. А. Горецкая // Финансы и Кредит. – 2014. – № 4. – С. 28-35</w:t>
      </w:r>
    </w:p>
    <w:p w:rsidR="0063016C" w:rsidRPr="00BB0C0A" w:rsidRDefault="0063016C" w:rsidP="0063016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0A">
        <w:rPr>
          <w:rFonts w:ascii="Times New Roman" w:hAnsi="Times New Roman" w:cs="Times New Roman"/>
          <w:sz w:val="28"/>
          <w:szCs w:val="28"/>
        </w:rPr>
        <w:t>– В статье отмечается, что поведенческие финансы - это направление финансовой теории, предметом исследования и моделирования которого является иррациональная составляющая принятия финансовых решений в условиях риска и неопределенности. Подчеркивается, что теория перспектив является наиболее рациональной теоретической моделью субъективной оценки риска в рамках принятия соответствующих финансовых решений. Трудности ее применения связаны с недостаточной разработанностью методологии определения таких значимых инвестиционных понятий, как "референтная точка", "выигрыш" и "проигрыш". В наибольшей степени теория перспектив используется в управлении финансами.</w:t>
      </w:r>
    </w:p>
    <w:p w:rsidR="0063016C" w:rsidRPr="00BB0C0A" w:rsidRDefault="0063016C" w:rsidP="0063016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7. Сергеев, Л. И. Развитие форм оценки качества регионального государственного финансового менеджмента / Л. И. Сергеев // Финансы и Кредит. – 2014. – № 4. – С. 21-27</w:t>
      </w:r>
    </w:p>
    <w:p w:rsidR="0063016C" w:rsidRPr="00BB0C0A" w:rsidRDefault="0063016C" w:rsidP="0063016C">
      <w:pPr>
        <w:rPr>
          <w:rFonts w:ascii="Times New Roman" w:hAnsi="Times New Roman" w:cs="Times New Roman"/>
          <w:sz w:val="28"/>
          <w:szCs w:val="28"/>
        </w:rPr>
      </w:pPr>
      <w:r w:rsidRPr="00BB0C0A">
        <w:rPr>
          <w:rFonts w:ascii="Times New Roman" w:hAnsi="Times New Roman" w:cs="Times New Roman"/>
          <w:sz w:val="28"/>
          <w:szCs w:val="28"/>
        </w:rPr>
        <w:t xml:space="preserve"> – В статье анализируется действующая методика оценки качества финансового менеджмента в субъектах РФ. Обобщаются предложения по учету в данной методике различий в базовых показателях субъектов РФ, структуры долговой нагрузки, результативности бюджетного </w:t>
      </w:r>
      <w:r w:rsidRPr="00BB0C0A">
        <w:rPr>
          <w:rFonts w:ascii="Times New Roman" w:hAnsi="Times New Roman" w:cs="Times New Roman"/>
          <w:sz w:val="28"/>
          <w:szCs w:val="28"/>
        </w:rPr>
        <w:lastRenderedPageBreak/>
        <w:t>программирования, степени инновационности бюджетных процессов, объема бюджетных нарушений, открытости и публичности бюджетной сферы.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8. Бухвальд, Е. Муниципальная реформа в России. Некоторые итоги прошедшего десятилетия / Е. Бухвальд // Федерализм. – 2013. – № 4. – С. 121-134</w:t>
      </w:r>
      <w:r w:rsidR="00BB0C0A" w:rsidRPr="00BB0C0A">
        <w:rPr>
          <w:rFonts w:ascii="Times New Roman" w:hAnsi="Times New Roman" w:cs="Times New Roman"/>
          <w:b/>
          <w:sz w:val="28"/>
          <w:szCs w:val="28"/>
        </w:rPr>
        <w:t>.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9. Гришина, И.Совершенствование метода и новые результаты оценки инвестиционной активности в регионах России / И. Гришина, И. Ройзман // Федерализм. – 2013. – № 4. – С. 33-48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sz w:val="28"/>
          <w:szCs w:val="28"/>
        </w:rPr>
        <w:t xml:space="preserve"> – Статья посвящена актуальным вопросам разработки методического инструментария оценки инвестиционной активности в регионах России для совершенствования государственной инвестиционной политики. Научно обосновано использование нового состава индикаторов инвестиционной активности. Представлены результаты экспериментальных расчетов, выполненных на основе данных государственной статистики за 2007-2012 гг. Разработана карта регионов России, сгруппированных в соответствии с уровнем инвестиционной активности в 2012 г.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10. Зедина, Ю.Механизмы государственно-частного партнерства в решении проблем занятости в субъектах Российской Федерации / Ю. Зедина // Федерализм. – 2013. – № 4. – С. 17-32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sz w:val="28"/>
          <w:szCs w:val="28"/>
        </w:rPr>
        <w:t xml:space="preserve"> – В статье представлено исследование потенциала механизмов государственно-частного партнерства </w:t>
      </w:r>
      <w:r w:rsidR="003C1259">
        <w:rPr>
          <w:rFonts w:ascii="Times New Roman" w:hAnsi="Times New Roman" w:cs="Times New Roman"/>
          <w:sz w:val="28"/>
          <w:szCs w:val="28"/>
        </w:rPr>
        <w:t>(</w:t>
      </w:r>
      <w:r w:rsidRPr="00BB0C0A">
        <w:rPr>
          <w:rFonts w:ascii="Times New Roman" w:hAnsi="Times New Roman" w:cs="Times New Roman"/>
          <w:sz w:val="28"/>
          <w:szCs w:val="28"/>
        </w:rPr>
        <w:t>ГЧП) как фактора снижения напряженности на рынке труда в российских регионах. Показаны возможности решения с помощью инструментов ГЧП проблем: снижения уровня безработицы в российских регионах, активизации работы служб занятости, реструктуризации кадрового состава региональных рынков труда, обеспечения повышения квалификации кадров</w:t>
      </w:r>
      <w:r w:rsidR="00BB0C0A" w:rsidRPr="00BB0C0A">
        <w:rPr>
          <w:rFonts w:ascii="Times New Roman" w:hAnsi="Times New Roman" w:cs="Times New Roman"/>
          <w:sz w:val="28"/>
          <w:szCs w:val="28"/>
        </w:rPr>
        <w:t>.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11. Ишмухаметов, Н.Условия реализации человеческого капитала в регионах Приволжского федер</w:t>
      </w:r>
      <w:r w:rsidR="00BB0C0A" w:rsidRPr="00BB0C0A">
        <w:rPr>
          <w:rFonts w:ascii="Times New Roman" w:hAnsi="Times New Roman" w:cs="Times New Roman"/>
          <w:b/>
          <w:sz w:val="28"/>
          <w:szCs w:val="28"/>
        </w:rPr>
        <w:t>а</w:t>
      </w:r>
      <w:r w:rsidRPr="00BB0C0A">
        <w:rPr>
          <w:rFonts w:ascii="Times New Roman" w:hAnsi="Times New Roman" w:cs="Times New Roman"/>
          <w:b/>
          <w:sz w:val="28"/>
          <w:szCs w:val="28"/>
        </w:rPr>
        <w:t>льного округа / Н. Ишмухаметов // Федерализм. – 2013. – № 4. – С. 109-120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sz w:val="28"/>
          <w:szCs w:val="28"/>
        </w:rPr>
        <w:t xml:space="preserve"> – В статье предлагается авторский подход к анализу измерения человеческого капитала, а также методика измерения условий развития человеческого капитала с выделением условий его воспроизводства, накопления и реализации. Представлены результаты апробации этой методики на примере регионов Приволжского федерального округа</w:t>
      </w:r>
      <w:r w:rsidR="00BB0C0A" w:rsidRPr="00BB0C0A">
        <w:rPr>
          <w:rFonts w:ascii="Times New Roman" w:hAnsi="Times New Roman" w:cs="Times New Roman"/>
          <w:sz w:val="28"/>
          <w:szCs w:val="28"/>
        </w:rPr>
        <w:t>.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lastRenderedPageBreak/>
        <w:t>12. Косинский, П.Правовые и бюджетные отношения в практике формирования местных бюджетов в Российской Федерации / П. Косинский, А. Ашарат // Федерализм. – 2013. – № 4. – С. 135-148</w:t>
      </w:r>
      <w:r w:rsidR="00BB0C0A" w:rsidRPr="00BB0C0A">
        <w:rPr>
          <w:rFonts w:ascii="Times New Roman" w:hAnsi="Times New Roman" w:cs="Times New Roman"/>
          <w:b/>
          <w:sz w:val="28"/>
          <w:szCs w:val="28"/>
        </w:rPr>
        <w:t>.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  <w:r w:rsidRPr="00BB0C0A">
        <w:rPr>
          <w:rFonts w:ascii="Times New Roman" w:hAnsi="Times New Roman" w:cs="Times New Roman"/>
          <w:b/>
          <w:sz w:val="28"/>
          <w:szCs w:val="28"/>
        </w:rPr>
        <w:t>13. Некрасов, А. Элита уральских городов: определение результатирующего показателя экономического развития городов-миллионников Уральского экономического района / А. Некрасов // Федерализм. – 2013. – № 4. – С. 214-</w:t>
      </w:r>
    </w:p>
    <w:p w:rsidR="00B652CC" w:rsidRPr="00BB0C0A" w:rsidRDefault="00B652CC" w:rsidP="00B652CC">
      <w:pPr>
        <w:rPr>
          <w:rFonts w:ascii="Times New Roman" w:hAnsi="Times New Roman" w:cs="Times New Roman"/>
          <w:sz w:val="28"/>
          <w:szCs w:val="28"/>
        </w:rPr>
      </w:pPr>
      <w:r w:rsidRPr="00BB0C0A">
        <w:rPr>
          <w:rFonts w:ascii="Times New Roman" w:hAnsi="Times New Roman" w:cs="Times New Roman"/>
          <w:sz w:val="28"/>
          <w:szCs w:val="28"/>
        </w:rPr>
        <w:t xml:space="preserve"> – Анализируются методики определения валового муниципального продукта, предлагается авторский подход к расчету его величины для городов-миллионников, позволяющий определить долю этих городов в валовом региональном продукте Уральского экономического района. Приводятся расчеты валового муниципального продукта для Екатеринбурга, Челябинска, Перми и Уфы за период 2009-2011 гг.</w:t>
      </w: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</w:p>
    <w:p w:rsidR="00B652CC" w:rsidRPr="00BB0C0A" w:rsidRDefault="00B652CC" w:rsidP="00B652CC">
      <w:pPr>
        <w:rPr>
          <w:rFonts w:ascii="Times New Roman" w:hAnsi="Times New Roman" w:cs="Times New Roman"/>
          <w:b/>
          <w:sz w:val="28"/>
          <w:szCs w:val="28"/>
        </w:rPr>
      </w:pPr>
    </w:p>
    <w:p w:rsidR="00B652CC" w:rsidRPr="00BB0C0A" w:rsidRDefault="00B652CC" w:rsidP="0063016C">
      <w:pPr>
        <w:rPr>
          <w:rFonts w:ascii="Times New Roman" w:hAnsi="Times New Roman" w:cs="Times New Roman"/>
          <w:b/>
          <w:sz w:val="28"/>
          <w:szCs w:val="28"/>
        </w:rPr>
      </w:pPr>
    </w:p>
    <w:p w:rsidR="0063016C" w:rsidRPr="00BB0C0A" w:rsidRDefault="0063016C" w:rsidP="0063016C">
      <w:pPr>
        <w:rPr>
          <w:rFonts w:ascii="Times New Roman" w:hAnsi="Times New Roman" w:cs="Times New Roman"/>
          <w:b/>
          <w:sz w:val="28"/>
          <w:szCs w:val="28"/>
        </w:rPr>
      </w:pPr>
    </w:p>
    <w:p w:rsidR="0063016C" w:rsidRPr="00BB0C0A" w:rsidRDefault="0063016C" w:rsidP="0063016C">
      <w:pPr>
        <w:rPr>
          <w:rFonts w:ascii="Times New Roman" w:hAnsi="Times New Roman" w:cs="Times New Roman"/>
          <w:b/>
          <w:sz w:val="28"/>
          <w:szCs w:val="28"/>
        </w:rPr>
      </w:pPr>
    </w:p>
    <w:p w:rsidR="0063016C" w:rsidRPr="00BB0C0A" w:rsidRDefault="0063016C" w:rsidP="005259D8">
      <w:pPr>
        <w:rPr>
          <w:rFonts w:ascii="Times New Roman" w:hAnsi="Times New Roman" w:cs="Times New Roman"/>
          <w:b/>
          <w:sz w:val="28"/>
          <w:szCs w:val="28"/>
        </w:rPr>
      </w:pPr>
    </w:p>
    <w:p w:rsidR="008313BF" w:rsidRPr="00BB0C0A" w:rsidRDefault="008313BF" w:rsidP="008313BF">
      <w:pPr>
        <w:rPr>
          <w:rFonts w:ascii="Times New Roman" w:hAnsi="Times New Roman" w:cs="Times New Roman"/>
          <w:b/>
          <w:sz w:val="28"/>
          <w:szCs w:val="28"/>
        </w:rPr>
      </w:pPr>
    </w:p>
    <w:p w:rsidR="008313BF" w:rsidRPr="00BB0C0A" w:rsidRDefault="008313BF" w:rsidP="008313BF">
      <w:pPr>
        <w:rPr>
          <w:rFonts w:ascii="Times New Roman" w:hAnsi="Times New Roman" w:cs="Times New Roman"/>
          <w:b/>
          <w:sz w:val="28"/>
          <w:szCs w:val="28"/>
        </w:rPr>
      </w:pPr>
    </w:p>
    <w:p w:rsidR="008313BF" w:rsidRPr="00BB0C0A" w:rsidRDefault="008313BF" w:rsidP="008313BF">
      <w:pPr>
        <w:rPr>
          <w:rFonts w:ascii="Times New Roman" w:hAnsi="Times New Roman" w:cs="Times New Roman"/>
          <w:b/>
          <w:sz w:val="28"/>
          <w:szCs w:val="28"/>
        </w:rPr>
      </w:pPr>
    </w:p>
    <w:p w:rsidR="00FD290A" w:rsidRPr="00BB0C0A" w:rsidRDefault="00FD290A" w:rsidP="00331EDC">
      <w:pPr>
        <w:rPr>
          <w:rFonts w:ascii="Times New Roman" w:hAnsi="Times New Roman" w:cs="Times New Roman"/>
          <w:b/>
          <w:sz w:val="28"/>
          <w:szCs w:val="28"/>
        </w:rPr>
      </w:pPr>
    </w:p>
    <w:sectPr w:rsidR="00FD290A" w:rsidRPr="00BB0C0A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DC"/>
    <w:rsid w:val="00331EDC"/>
    <w:rsid w:val="003C1259"/>
    <w:rsid w:val="005259D8"/>
    <w:rsid w:val="005A777A"/>
    <w:rsid w:val="006175F7"/>
    <w:rsid w:val="0063016C"/>
    <w:rsid w:val="006B5D14"/>
    <w:rsid w:val="00762BE5"/>
    <w:rsid w:val="00796EB8"/>
    <w:rsid w:val="008313BF"/>
    <w:rsid w:val="008F6411"/>
    <w:rsid w:val="0091494A"/>
    <w:rsid w:val="00AD79DC"/>
    <w:rsid w:val="00B652CC"/>
    <w:rsid w:val="00BB0C0A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2014-02-19T12:28:00Z</dcterms:created>
  <dcterms:modified xsi:type="dcterms:W3CDTF">2014-02-27T12:34:00Z</dcterms:modified>
</cp:coreProperties>
</file>